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2746" w14:textId="77777777" w:rsidR="00C75D23" w:rsidRPr="00C75D23" w:rsidRDefault="00C75D23" w:rsidP="00C75D23">
      <w:pPr>
        <w:rPr>
          <w:b/>
          <w:bCs/>
        </w:rPr>
      </w:pPr>
      <w:r w:rsidRPr="00C75D23">
        <w:rPr>
          <w:b/>
          <w:bCs/>
        </w:rPr>
        <w:t>BEZWAARSCHRIFT</w:t>
      </w:r>
    </w:p>
    <w:p w14:paraId="3CF0821F" w14:textId="77777777" w:rsidR="00C75D23" w:rsidRPr="00C75D23" w:rsidRDefault="00C75D23" w:rsidP="00C75D23">
      <w:r w:rsidRPr="00C75D23">
        <w:rPr>
          <w:i/>
          <w:iCs/>
        </w:rPr>
        <w:t>(vermeld dit ook duidelijk op de envelop)</w:t>
      </w:r>
    </w:p>
    <w:p w14:paraId="71BCA2FF" w14:textId="77777777" w:rsidR="00C75D23" w:rsidRPr="00C75D23" w:rsidRDefault="00C75D23" w:rsidP="00C75D23">
      <w:r w:rsidRPr="00C75D23">
        <w:rPr>
          <w:b/>
          <w:bCs/>
        </w:rPr>
        <w:t>Aan:</w:t>
      </w:r>
      <w:r w:rsidRPr="00C75D23">
        <w:br/>
        <w:t>Afdeling Bezwaar en Beroep</w:t>
      </w:r>
      <w:r w:rsidRPr="00C75D23">
        <w:br/>
        <w:t>[Naam van de gemeente / bestuursorgaan]</w:t>
      </w:r>
      <w:r w:rsidRPr="00C75D23">
        <w:br/>
        <w:t>[Adres van de instantie, zoals vermeld in het besluit]</w:t>
      </w:r>
      <w:r w:rsidRPr="00C75D23">
        <w:br/>
        <w:t>[Postcode en plaats]</w:t>
      </w:r>
    </w:p>
    <w:p w14:paraId="6CC5F244" w14:textId="77777777" w:rsidR="00C75D23" w:rsidRPr="00C75D23" w:rsidRDefault="00C75D23" w:rsidP="00C75D23">
      <w:r w:rsidRPr="00C75D23">
        <w:pict w14:anchorId="0B2F648F">
          <v:rect id="_x0000_i1073" style="width:0;height:1.5pt" o:hralign="center" o:hrstd="t" o:hr="t" fillcolor="#a0a0a0" stroked="f"/>
        </w:pict>
      </w:r>
    </w:p>
    <w:p w14:paraId="00EC0E9F" w14:textId="77777777" w:rsidR="00C75D23" w:rsidRPr="00C75D23" w:rsidRDefault="00C75D23" w:rsidP="00C75D23">
      <w:pPr>
        <w:rPr>
          <w:b/>
          <w:bCs/>
        </w:rPr>
      </w:pPr>
      <w:r w:rsidRPr="00C75D23">
        <w:rPr>
          <w:b/>
          <w:bCs/>
        </w:rPr>
        <w:t>Persoonlijke gegevens</w:t>
      </w:r>
    </w:p>
    <w:p w14:paraId="7AF99D3C" w14:textId="77777777" w:rsidR="00C75D23" w:rsidRPr="00C75D23" w:rsidRDefault="00C75D23" w:rsidP="00C75D23">
      <w:r w:rsidRPr="00C75D23">
        <w:t>Naam: .....................................................</w:t>
      </w:r>
      <w:r w:rsidRPr="00C75D23">
        <w:br/>
        <w:t>Voorletters: .....................................................</w:t>
      </w:r>
      <w:r w:rsidRPr="00C75D23">
        <w:br/>
        <w:t>Adres: .....................................................</w:t>
      </w:r>
      <w:r w:rsidRPr="00C75D23">
        <w:br/>
        <w:t>Postcode en woonplaats: .....................................................</w:t>
      </w:r>
      <w:r w:rsidRPr="00C75D23">
        <w:br/>
        <w:t>BSN-nummer: .....................................................</w:t>
      </w:r>
      <w:r w:rsidRPr="00C75D23">
        <w:br/>
        <w:t>Telefoonnummer: .....................................................</w:t>
      </w:r>
      <w:r w:rsidRPr="00C75D23">
        <w:br/>
        <w:t>E-mailadres (optioneel): .....................................................</w:t>
      </w:r>
    </w:p>
    <w:p w14:paraId="5511FED5" w14:textId="77777777" w:rsidR="00C75D23" w:rsidRPr="00C75D23" w:rsidRDefault="00C75D23" w:rsidP="00C75D23">
      <w:r w:rsidRPr="00C75D23">
        <w:pict w14:anchorId="34317E44">
          <v:rect id="_x0000_i1074" style="width:0;height:1.5pt" o:hralign="center" o:hrstd="t" o:hr="t" fillcolor="#a0a0a0" stroked="f"/>
        </w:pict>
      </w:r>
    </w:p>
    <w:p w14:paraId="2E6A164F" w14:textId="77777777" w:rsidR="00C75D23" w:rsidRPr="00C75D23" w:rsidRDefault="00C75D23" w:rsidP="00C75D23">
      <w:pPr>
        <w:rPr>
          <w:b/>
          <w:bCs/>
        </w:rPr>
      </w:pPr>
      <w:r w:rsidRPr="00C75D23">
        <w:rPr>
          <w:b/>
          <w:bCs/>
        </w:rPr>
        <w:t>Onderwerp: Bezwaar tegen besluit d.d. [datum besluit] – kenmerk [kenmerk van het besluit]</w:t>
      </w:r>
    </w:p>
    <w:p w14:paraId="36E6A1E0" w14:textId="77777777" w:rsidR="00C75D23" w:rsidRPr="00C75D23" w:rsidRDefault="00C75D23" w:rsidP="00C75D23">
      <w:r w:rsidRPr="00C75D23">
        <w:t>Geachte mevrouw, geachte heer,</w:t>
      </w:r>
    </w:p>
    <w:p w14:paraId="48DCEBA9" w14:textId="77777777" w:rsidR="00C75D23" w:rsidRPr="00C75D23" w:rsidRDefault="00C75D23" w:rsidP="00C75D23">
      <w:r w:rsidRPr="00C75D23">
        <w:t xml:space="preserve">Hierbij maak ik </w:t>
      </w:r>
      <w:r w:rsidRPr="00C75D23">
        <w:rPr>
          <w:b/>
          <w:bCs/>
        </w:rPr>
        <w:t>bezwaar tegen het besluit van [naam bestuursorgaan] d.d. [datum], kenmerk [nummer]</w:t>
      </w:r>
      <w:r w:rsidRPr="00C75D23">
        <w:t xml:space="preserve">, waarbij aan mij een sanctie is opgelegd op grond van </w:t>
      </w:r>
      <w:r w:rsidRPr="00C75D23">
        <w:rPr>
          <w:b/>
          <w:bCs/>
        </w:rPr>
        <w:t>artikel 5:8 van de Algemene Plaatselijke Verordening (APV)</w:t>
      </w:r>
      <w:r w:rsidRPr="00C75D23">
        <w:t>.</w:t>
      </w:r>
    </w:p>
    <w:p w14:paraId="5E4991B4" w14:textId="77777777" w:rsidR="00C75D23" w:rsidRPr="00C75D23" w:rsidRDefault="00C75D23" w:rsidP="00C75D23">
      <w:r w:rsidRPr="00C75D23">
        <w:t>Een kopie van het bestreden besluit, alsmede kopieën van relevante gerechtelijke uitspraken (Gerechtshof Arnhem-Leeuwarden) zijn bijgevoegd.</w:t>
      </w:r>
    </w:p>
    <w:p w14:paraId="47678207" w14:textId="77777777" w:rsidR="00C75D23" w:rsidRPr="00C75D23" w:rsidRDefault="00C75D23" w:rsidP="00C75D23">
      <w:r w:rsidRPr="00C75D23">
        <w:pict w14:anchorId="69C5D902">
          <v:rect id="_x0000_i1075" style="width:0;height:1.5pt" o:hralign="center" o:hrstd="t" o:hr="t" fillcolor="#a0a0a0" stroked="f"/>
        </w:pict>
      </w:r>
    </w:p>
    <w:p w14:paraId="68F42600" w14:textId="77777777" w:rsidR="00C75D23" w:rsidRPr="00C75D23" w:rsidRDefault="00C75D23" w:rsidP="00C75D23">
      <w:pPr>
        <w:rPr>
          <w:b/>
          <w:bCs/>
        </w:rPr>
      </w:pPr>
      <w:r w:rsidRPr="00C75D23">
        <w:rPr>
          <w:b/>
          <w:bCs/>
        </w:rPr>
        <w:t>Gronden van bezwaar</w:t>
      </w:r>
    </w:p>
    <w:p w14:paraId="7962B792" w14:textId="77777777" w:rsidR="00C75D23" w:rsidRPr="00C75D23" w:rsidRDefault="00C75D23" w:rsidP="00C75D23">
      <w:pPr>
        <w:rPr>
          <w:b/>
          <w:bCs/>
        </w:rPr>
      </w:pPr>
      <w:r w:rsidRPr="00C75D23">
        <w:rPr>
          <w:b/>
          <w:bCs/>
        </w:rPr>
        <w:t>1. Onbevoegdheid van de verbalisant</w:t>
      </w:r>
    </w:p>
    <w:p w14:paraId="5B29599E" w14:textId="77777777" w:rsidR="00C75D23" w:rsidRPr="00C75D23" w:rsidRDefault="00C75D23" w:rsidP="00C75D23">
      <w:r w:rsidRPr="00C75D23">
        <w:t xml:space="preserve">De sanctie is opgelegd door een buitengewoon opsporingsambtenaar (BOA) in het domein </w:t>
      </w:r>
      <w:r w:rsidRPr="00C75D23">
        <w:rPr>
          <w:i/>
          <w:iCs/>
        </w:rPr>
        <w:t>Openbare Ruimte</w:t>
      </w:r>
      <w:r w:rsidRPr="00C75D23">
        <w:t>.</w:t>
      </w:r>
      <w:r w:rsidRPr="00C75D23">
        <w:br/>
        <w:t xml:space="preserve">Volgens de </w:t>
      </w:r>
      <w:r w:rsidRPr="00C75D23">
        <w:rPr>
          <w:b/>
          <w:bCs/>
        </w:rPr>
        <w:t>Beleidsregels Buitengewoon Opsporingsambtenaar (</w:t>
      </w:r>
      <w:proofErr w:type="spellStart"/>
      <w:r w:rsidRPr="00C75D23">
        <w:rPr>
          <w:b/>
          <w:bCs/>
        </w:rPr>
        <w:t>Stcrt</w:t>
      </w:r>
      <w:proofErr w:type="spellEnd"/>
      <w:r w:rsidRPr="00C75D23">
        <w:rPr>
          <w:b/>
          <w:bCs/>
        </w:rPr>
        <w:t>. 2015, nr. 16504)</w:t>
      </w:r>
      <w:r w:rsidRPr="00C75D23">
        <w:t xml:space="preserve"> is deze slechts bevoegd te handhaven op gedragingen die </w:t>
      </w:r>
      <w:r w:rsidRPr="00C75D23">
        <w:rPr>
          <w:b/>
          <w:bCs/>
        </w:rPr>
        <w:t>de openbare orde</w:t>
      </w:r>
      <w:r w:rsidRPr="00C75D23">
        <w:t xml:space="preserve"> raken.</w:t>
      </w:r>
    </w:p>
    <w:p w14:paraId="5C5FECB8" w14:textId="77777777" w:rsidR="00C75D23" w:rsidRPr="00C75D23" w:rsidRDefault="00C75D23" w:rsidP="00C75D23">
      <w:r w:rsidRPr="00C75D23">
        <w:t xml:space="preserve">Het parkeren van een voertuig betreft echter geen openbare-ordeovertreding, maar een gedraging in het kader van de </w:t>
      </w:r>
      <w:r w:rsidRPr="00C75D23">
        <w:rPr>
          <w:b/>
          <w:bCs/>
        </w:rPr>
        <w:t>Wegenverkeerswet 1994 (WVW)</w:t>
      </w:r>
      <w:r w:rsidRPr="00C75D23">
        <w:t>.</w:t>
      </w:r>
      <w:r w:rsidRPr="00C75D23">
        <w:br/>
        <w:t xml:space="preserve">Deze bevoegdheidsgrens is bevestigd in het arrest van het </w:t>
      </w:r>
      <w:r w:rsidRPr="00C75D23">
        <w:rPr>
          <w:b/>
          <w:bCs/>
        </w:rPr>
        <w:t>Gerechtshof Arnhem-Leeuwarden, 20 maart 2019 (WAHV 00.191.067 / CJIB t890t7077)</w:t>
      </w:r>
      <w:r w:rsidRPr="00C75D23">
        <w:t>, waarin het Hof oordeelde dat de BOA in een vergelijkbare zaak onbevoegd was omdat niet kon worden vastgesteld dat sprake was van een overtreding ter handhaving van de openbare orde.</w:t>
      </w:r>
    </w:p>
    <w:p w14:paraId="67094561" w14:textId="77777777" w:rsidR="00C75D23" w:rsidRPr="00C75D23" w:rsidRDefault="00C75D23" w:rsidP="00C75D23">
      <w:r w:rsidRPr="00C75D23">
        <w:t xml:space="preserve">Aangezien ook in mijn geval niet blijkt dat de sanctie voortvloeit uit een openbare-ordeaspect, is de sanctie opgelegd door een </w:t>
      </w:r>
      <w:r w:rsidRPr="00C75D23">
        <w:rPr>
          <w:b/>
          <w:bCs/>
        </w:rPr>
        <w:t>onbevoegde verbalisant</w:t>
      </w:r>
      <w:r w:rsidRPr="00C75D23">
        <w:t>. Daarmee is het besluit onrechtmatig.</w:t>
      </w:r>
    </w:p>
    <w:p w14:paraId="69B781B6" w14:textId="77777777" w:rsidR="00C75D23" w:rsidRPr="00C75D23" w:rsidRDefault="00C75D23" w:rsidP="00C75D23">
      <w:r w:rsidRPr="00C75D23">
        <w:pict w14:anchorId="6623078D">
          <v:rect id="_x0000_i1076" style="width:0;height:1.5pt" o:hralign="center" o:hrstd="t" o:hr="t" fillcolor="#a0a0a0" stroked="f"/>
        </w:pict>
      </w:r>
    </w:p>
    <w:p w14:paraId="3FF81D67" w14:textId="77777777" w:rsidR="00C75D23" w:rsidRPr="00C75D23" w:rsidRDefault="00C75D23" w:rsidP="00C75D23">
      <w:pPr>
        <w:rPr>
          <w:b/>
          <w:bCs/>
        </w:rPr>
      </w:pPr>
      <w:r w:rsidRPr="00C75D23">
        <w:rPr>
          <w:b/>
          <w:bCs/>
        </w:rPr>
        <w:t>2. Gemeentelijke onbevoegdheid (strijd met hogere regelgeving)</w:t>
      </w:r>
    </w:p>
    <w:p w14:paraId="2C8CBCAE" w14:textId="77777777" w:rsidR="00C75D23" w:rsidRPr="00C75D23" w:rsidRDefault="00C75D23" w:rsidP="00C75D23">
      <w:r w:rsidRPr="00C75D23">
        <w:t xml:space="preserve">De regels inzake parkeren worden volledig geregeld in, bij of krachtens de </w:t>
      </w:r>
      <w:r w:rsidRPr="00C75D23">
        <w:rPr>
          <w:b/>
          <w:bCs/>
        </w:rPr>
        <w:t>Wegenverkeerswet 1994</w:t>
      </w:r>
      <w:r w:rsidRPr="00C75D23">
        <w:t xml:space="preserve"> en het </w:t>
      </w:r>
      <w:r w:rsidRPr="00C75D23">
        <w:rPr>
          <w:b/>
          <w:bCs/>
        </w:rPr>
        <w:t>Reglement verkeersregels en verkeerstekens 1990 (RVV 1990)</w:t>
      </w:r>
      <w:r w:rsidRPr="00C75D23">
        <w:t>.</w:t>
      </w:r>
    </w:p>
    <w:p w14:paraId="2E2F24E5" w14:textId="77777777" w:rsidR="00C75D23" w:rsidRPr="00C75D23" w:rsidRDefault="00C75D23" w:rsidP="00C75D23">
      <w:r w:rsidRPr="00C75D23">
        <w:t xml:space="preserve">Op grond van </w:t>
      </w:r>
      <w:r w:rsidRPr="00C75D23">
        <w:rPr>
          <w:b/>
          <w:bCs/>
        </w:rPr>
        <w:t>artikel 122 Gemeentewet</w:t>
      </w:r>
      <w:r w:rsidRPr="00C75D23">
        <w:t xml:space="preserve"> mogen gemeenten geen bepalingen vaststellen over onderwerpen die al bij hogere wet zijn geregeld.</w:t>
      </w:r>
      <w:r w:rsidRPr="00C75D23">
        <w:br/>
        <w:t xml:space="preserve">Daarnaast bepaalt </w:t>
      </w:r>
      <w:r w:rsidRPr="00C75D23">
        <w:rPr>
          <w:b/>
          <w:bCs/>
        </w:rPr>
        <w:t>artikel 2a WVW</w:t>
      </w:r>
      <w:r w:rsidRPr="00C75D23">
        <w:t xml:space="preserve"> dat lagere overheden alleen regels mogen stellen voor </w:t>
      </w:r>
      <w:r w:rsidRPr="00C75D23">
        <w:lastRenderedPageBreak/>
        <w:t>zover die niet in strijd zijn met de WVW of het RVV en voor zover verkeerstekens zich daar niet toe lenen.</w:t>
      </w:r>
    </w:p>
    <w:p w14:paraId="61A73C2E" w14:textId="77777777" w:rsidR="00C75D23" w:rsidRPr="00C75D23" w:rsidRDefault="00C75D23" w:rsidP="00C75D23">
      <w:r w:rsidRPr="00C75D23">
        <w:t xml:space="preserve">Het parkeren van kampeerauto’s is uitdrukkelijk geregeld in </w:t>
      </w:r>
      <w:r w:rsidRPr="00C75D23">
        <w:rPr>
          <w:b/>
          <w:bCs/>
        </w:rPr>
        <w:t>artikel 24 RVV 1990</w:t>
      </w:r>
      <w:r w:rsidRPr="00C75D23">
        <w:t>.</w:t>
      </w:r>
      <w:r w:rsidRPr="00C75D23">
        <w:br/>
        <w:t xml:space="preserve">Gemeenten hebben daarom </w:t>
      </w:r>
      <w:r w:rsidRPr="00C75D23">
        <w:rPr>
          <w:b/>
          <w:bCs/>
        </w:rPr>
        <w:t>geen verordenende bevoegdheid</w:t>
      </w:r>
      <w:r w:rsidRPr="00C75D23">
        <w:t xml:space="preserve"> om aanvullende verbodsbepalingen in de APV op te nemen die dezelfde materie regelen.</w:t>
      </w:r>
      <w:r w:rsidRPr="00C75D23">
        <w:br/>
        <w:t xml:space="preserve">Dergelijke bepalingen zijn </w:t>
      </w:r>
      <w:r w:rsidRPr="00C75D23">
        <w:rPr>
          <w:b/>
          <w:bCs/>
        </w:rPr>
        <w:t>van rechtswege onverbindend</w:t>
      </w:r>
      <w:r w:rsidRPr="00C75D23">
        <w:t>.</w:t>
      </w:r>
    </w:p>
    <w:p w14:paraId="67BCAC7E" w14:textId="77777777" w:rsidR="00C75D23" w:rsidRPr="00C75D23" w:rsidRDefault="00C75D23" w:rsidP="00C75D23">
      <w:r w:rsidRPr="00C75D23">
        <w:t xml:space="preserve">Deze visie is bevestigd in de uitspraak van het </w:t>
      </w:r>
      <w:r w:rsidRPr="00C75D23">
        <w:rPr>
          <w:b/>
          <w:bCs/>
        </w:rPr>
        <w:t>Gerechtshof Arnhem-Leeuwarden, 26 april 2018 (WAHV 200.196.540 / CJIB 166444300)</w:t>
      </w:r>
      <w:r w:rsidRPr="00C75D23">
        <w:t>.</w:t>
      </w:r>
      <w:r w:rsidRPr="00C75D23">
        <w:br/>
        <w:t>Het Hof oordeelde daarin dat een gemeentelijke parkeerverordening onverbindend was omdat zij hetzelfde onderwerp regelde als artikel 24 RVV 1990.</w:t>
      </w:r>
    </w:p>
    <w:p w14:paraId="4C323A4F" w14:textId="77777777" w:rsidR="00C75D23" w:rsidRPr="00C75D23" w:rsidRDefault="00C75D23" w:rsidP="00C75D23">
      <w:r w:rsidRPr="00C75D23">
        <w:pict w14:anchorId="68E5A6A7">
          <v:rect id="_x0000_i1077" style="width:0;height:1.5pt" o:hralign="center" o:hrstd="t" o:hr="t" fillcolor="#a0a0a0" stroked="f"/>
        </w:pict>
      </w:r>
    </w:p>
    <w:p w14:paraId="3DF3CF0D" w14:textId="77777777" w:rsidR="00C75D23" w:rsidRPr="00C75D23" w:rsidRDefault="00C75D23" w:rsidP="00C75D23">
      <w:pPr>
        <w:rPr>
          <w:b/>
          <w:bCs/>
        </w:rPr>
      </w:pPr>
      <w:r w:rsidRPr="00C75D23">
        <w:rPr>
          <w:b/>
          <w:bCs/>
        </w:rPr>
        <w:t>3. Schending van het gelijkheidsbeginsel en willekeur</w:t>
      </w:r>
    </w:p>
    <w:p w14:paraId="4D5B0435" w14:textId="77777777" w:rsidR="00C75D23" w:rsidRPr="00C75D23" w:rsidRDefault="00C75D23" w:rsidP="00C75D23">
      <w:r w:rsidRPr="00C75D23">
        <w:t>Indien het beroep op onbevoegdheid of strijd met hogere regelgeving niet wordt gehonoreerd, blijf ik van mening dat de sanctie ook om andere redenen niet in stand kan blijven:</w:t>
      </w:r>
    </w:p>
    <w:p w14:paraId="37BD40F8" w14:textId="77777777" w:rsidR="00C75D23" w:rsidRPr="00C75D23" w:rsidRDefault="00C75D23" w:rsidP="00C75D23">
      <w:r w:rsidRPr="00C75D23">
        <w:t xml:space="preserve">a) De gehanteerde criteria zijn </w:t>
      </w:r>
      <w:r w:rsidRPr="00C75D23">
        <w:rPr>
          <w:b/>
          <w:bCs/>
        </w:rPr>
        <w:t>arbitrair en ongelijk</w:t>
      </w:r>
      <w:r w:rsidRPr="00C75D23">
        <w:t>. Een voertuig van 5,99 meter lengte of 2,39 meter hoogte belemmert het zicht op straat evenzeer als een voertuig dat enkele centimeters groter is. De gekozen grenzen zijn daarom niet objectief of proportioneel.</w:t>
      </w:r>
    </w:p>
    <w:p w14:paraId="72722A28" w14:textId="77777777" w:rsidR="00C75D23" w:rsidRPr="00C75D23" w:rsidRDefault="00C75D23" w:rsidP="00C75D23">
      <w:r w:rsidRPr="00C75D23">
        <w:t xml:space="preserve">b) De norm “belemmering van het zicht”, “dagelijks gebruik” of “anderszins hinder” is </w:t>
      </w:r>
      <w:r w:rsidRPr="00C75D23">
        <w:rPr>
          <w:b/>
          <w:bCs/>
        </w:rPr>
        <w:t>volstrekt subjectief</w:t>
      </w:r>
      <w:r w:rsidRPr="00C75D23">
        <w:t xml:space="preserve"> en biedt geen toetsbare rechtsgrond. Er ontbreekt een concrete, toetsbare rechtvaardiging voor het opleggen van de sanctie.</w:t>
      </w:r>
    </w:p>
    <w:p w14:paraId="20C825FD" w14:textId="77777777" w:rsidR="00C75D23" w:rsidRPr="00C75D23" w:rsidRDefault="00C75D23" w:rsidP="00C75D23">
      <w:r w:rsidRPr="00C75D23">
        <w:t xml:space="preserve">Hierdoor ontstaat rechtsongelijkheid en strijd met het </w:t>
      </w:r>
      <w:r w:rsidRPr="00C75D23">
        <w:rPr>
          <w:b/>
          <w:bCs/>
        </w:rPr>
        <w:t>gelijkheidsbeginsel</w:t>
      </w:r>
      <w:r w:rsidRPr="00C75D23">
        <w:t xml:space="preserve"> en het </w:t>
      </w:r>
      <w:r w:rsidRPr="00C75D23">
        <w:rPr>
          <w:b/>
          <w:bCs/>
        </w:rPr>
        <w:t>zorgvuldigheidsbeginsel</w:t>
      </w:r>
      <w:r w:rsidRPr="00C75D23">
        <w:t xml:space="preserve"> zoals bedoeld in </w:t>
      </w:r>
      <w:r w:rsidRPr="00C75D23">
        <w:rPr>
          <w:b/>
          <w:bCs/>
        </w:rPr>
        <w:t xml:space="preserve">artikel 3:4 </w:t>
      </w:r>
      <w:proofErr w:type="spellStart"/>
      <w:r w:rsidRPr="00C75D23">
        <w:rPr>
          <w:b/>
          <w:bCs/>
        </w:rPr>
        <w:t>Awb</w:t>
      </w:r>
      <w:proofErr w:type="spellEnd"/>
      <w:r w:rsidRPr="00C75D23">
        <w:t>.</w:t>
      </w:r>
    </w:p>
    <w:p w14:paraId="39660C4A" w14:textId="77777777" w:rsidR="00C75D23" w:rsidRPr="00C75D23" w:rsidRDefault="00C75D23" w:rsidP="00C75D23">
      <w:r w:rsidRPr="00C75D23">
        <w:pict w14:anchorId="4D374D3A">
          <v:rect id="_x0000_i1078" style="width:0;height:1.5pt" o:hralign="center" o:hrstd="t" o:hr="t" fillcolor="#a0a0a0" stroked="f"/>
        </w:pict>
      </w:r>
    </w:p>
    <w:p w14:paraId="1AF24143" w14:textId="77777777" w:rsidR="00C75D23" w:rsidRPr="00C75D23" w:rsidRDefault="00C75D23" w:rsidP="00C75D23">
      <w:pPr>
        <w:rPr>
          <w:b/>
          <w:bCs/>
        </w:rPr>
      </w:pPr>
      <w:r w:rsidRPr="00C75D23">
        <w:rPr>
          <w:b/>
          <w:bCs/>
        </w:rPr>
        <w:t>Conclusie</w:t>
      </w:r>
    </w:p>
    <w:p w14:paraId="5ABE5AAA" w14:textId="77777777" w:rsidR="00C75D23" w:rsidRPr="00C75D23" w:rsidRDefault="00C75D23" w:rsidP="00C75D23">
      <w:r w:rsidRPr="00C75D23">
        <w:t xml:space="preserve">Gelet op het voorgaande verzoek ik u om het besluit te </w:t>
      </w:r>
      <w:r w:rsidRPr="00C75D23">
        <w:rPr>
          <w:b/>
          <w:bCs/>
        </w:rPr>
        <w:t>herroepen</w:t>
      </w:r>
      <w:r w:rsidRPr="00C75D23">
        <w:t xml:space="preserve"> en de opgelegde sanctie </w:t>
      </w:r>
      <w:r w:rsidRPr="00C75D23">
        <w:rPr>
          <w:b/>
          <w:bCs/>
        </w:rPr>
        <w:t>in te trekken</w:t>
      </w:r>
      <w:r w:rsidRPr="00C75D23">
        <w:t>.</w:t>
      </w:r>
    </w:p>
    <w:p w14:paraId="53A915DB" w14:textId="77777777" w:rsidR="00C75D23" w:rsidRPr="00C75D23" w:rsidRDefault="00C75D23" w:rsidP="00C75D23">
      <w:r w:rsidRPr="00C75D23">
        <w:t>Graag ontvang ik een ontvangstbevestiging van dit bezwaarschrift.</w:t>
      </w:r>
    </w:p>
    <w:p w14:paraId="18B85431" w14:textId="77777777" w:rsidR="00C75D23" w:rsidRPr="00C75D23" w:rsidRDefault="00C75D23" w:rsidP="00C75D23">
      <w:r w:rsidRPr="00C75D23">
        <w:t>Met vriendelijke groet,</w:t>
      </w:r>
    </w:p>
    <w:p w14:paraId="7282A946" w14:textId="77777777" w:rsidR="00C75D23" w:rsidRPr="00C75D23" w:rsidRDefault="00C75D23" w:rsidP="00C75D23">
      <w:r w:rsidRPr="00C75D23">
        <w:t>(handtekening)</w:t>
      </w:r>
      <w:r w:rsidRPr="00C75D23">
        <w:br/>
        <w:t>.....................................................</w:t>
      </w:r>
      <w:r w:rsidRPr="00C75D23">
        <w:br/>
        <w:t>Naam: .....................................................</w:t>
      </w:r>
      <w:r w:rsidRPr="00C75D23">
        <w:br/>
        <w:t>Plaats: .....................................................</w:t>
      </w:r>
      <w:r w:rsidRPr="00C75D23">
        <w:br/>
        <w:t>Datum: .....................................................</w:t>
      </w:r>
    </w:p>
    <w:p w14:paraId="19A4DB97" w14:textId="77777777" w:rsidR="00C75D23" w:rsidRPr="00C75D23" w:rsidRDefault="00C75D23" w:rsidP="00C75D23">
      <w:r w:rsidRPr="00C75D23">
        <w:pict w14:anchorId="5D9A8DE0">
          <v:rect id="_x0000_i1079" style="width:0;height:1.5pt" o:hralign="center" o:hrstd="t" o:hr="t" fillcolor="#a0a0a0" stroked="f"/>
        </w:pict>
      </w:r>
    </w:p>
    <w:p w14:paraId="6488FEC1" w14:textId="77777777" w:rsidR="00C75D23" w:rsidRPr="00C75D23" w:rsidRDefault="00C75D23" w:rsidP="00C75D23">
      <w:pPr>
        <w:rPr>
          <w:b/>
          <w:bCs/>
        </w:rPr>
      </w:pPr>
      <w:r w:rsidRPr="00C75D23">
        <w:rPr>
          <w:b/>
          <w:bCs/>
        </w:rPr>
        <w:t>Bijlagen</w:t>
      </w:r>
    </w:p>
    <w:p w14:paraId="76A21637" w14:textId="77777777" w:rsidR="00C75D23" w:rsidRPr="00C75D23" w:rsidRDefault="00C75D23" w:rsidP="00C75D23">
      <w:pPr>
        <w:numPr>
          <w:ilvl w:val="0"/>
          <w:numId w:val="10"/>
        </w:numPr>
      </w:pPr>
      <w:r w:rsidRPr="00C75D23">
        <w:t>Kopie van het bestreden besluit</w:t>
      </w:r>
    </w:p>
    <w:p w14:paraId="433B2F98" w14:textId="77777777" w:rsidR="00C75D23" w:rsidRPr="00C75D23" w:rsidRDefault="00C75D23" w:rsidP="00C75D23">
      <w:pPr>
        <w:numPr>
          <w:ilvl w:val="0"/>
          <w:numId w:val="10"/>
        </w:numPr>
      </w:pPr>
      <w:r w:rsidRPr="00C75D23">
        <w:t>Kopieën van relevante gerechtelijke uitspraken (Gerechtshof Arnhem-Leeuwarden 20 maart 2019 en 26 april 2018)</w:t>
      </w:r>
    </w:p>
    <w:p w14:paraId="509DBE8C" w14:textId="77777777" w:rsidR="00C75D23" w:rsidRPr="00C75D23" w:rsidRDefault="00C75D23" w:rsidP="00C75D23">
      <w:pPr>
        <w:numPr>
          <w:ilvl w:val="0"/>
          <w:numId w:val="10"/>
        </w:numPr>
      </w:pPr>
      <w:r w:rsidRPr="00C75D23">
        <w:t>Eventuele andere bewijsstukken</w:t>
      </w:r>
    </w:p>
    <w:p w14:paraId="4EA3E304" w14:textId="77777777" w:rsidR="00C75D23" w:rsidRPr="00C75D23" w:rsidRDefault="00C75D23" w:rsidP="00C75D23">
      <w:r w:rsidRPr="00C75D23">
        <w:pict w14:anchorId="0D41A21F">
          <v:rect id="_x0000_i1080" style="width:0;height:1.5pt" o:hralign="center" o:hrstd="t" o:hr="t" fillcolor="#a0a0a0" stroked="f"/>
        </w:pict>
      </w:r>
    </w:p>
    <w:p w14:paraId="0048E859" w14:textId="77777777" w:rsidR="00C75D23" w:rsidRPr="00C75D23" w:rsidRDefault="00C75D23" w:rsidP="00C75D23">
      <w:pPr>
        <w:rPr>
          <w:b/>
          <w:bCs/>
        </w:rPr>
      </w:pPr>
      <w:r w:rsidRPr="00C75D23">
        <w:rPr>
          <w:b/>
          <w:bCs/>
        </w:rPr>
        <w:t>Toelichting verzending</w:t>
      </w:r>
    </w:p>
    <w:p w14:paraId="08065449" w14:textId="77777777" w:rsidR="00C75D23" w:rsidRPr="00C75D23" w:rsidRDefault="00C75D23" w:rsidP="00C75D23">
      <w:r w:rsidRPr="00C75D23">
        <w:t xml:space="preserve">Het verdient aanbeveling dit bezwaarschrift </w:t>
      </w:r>
      <w:r w:rsidRPr="00C75D23">
        <w:rPr>
          <w:b/>
          <w:bCs/>
        </w:rPr>
        <w:t>aangetekend te verzenden</w:t>
      </w:r>
      <w:r w:rsidRPr="00C75D23">
        <w:t xml:space="preserve"> of </w:t>
      </w:r>
      <w:r w:rsidRPr="00C75D23">
        <w:rPr>
          <w:b/>
          <w:bCs/>
        </w:rPr>
        <w:t>persoonlijk af te leveren tegen bewijs van ontvangst</w:t>
      </w:r>
      <w:r w:rsidRPr="00C75D23">
        <w:t>.</w:t>
      </w:r>
      <w:r w:rsidRPr="00C75D23">
        <w:br/>
        <w:t xml:space="preserve">In veel gemeenten is tevens een digitale indiening via </w:t>
      </w:r>
      <w:proofErr w:type="spellStart"/>
      <w:r w:rsidRPr="00C75D23">
        <w:rPr>
          <w:b/>
          <w:bCs/>
        </w:rPr>
        <w:t>DigiD</w:t>
      </w:r>
      <w:proofErr w:type="spellEnd"/>
      <w:r w:rsidRPr="00C75D23">
        <w:t xml:space="preserve"> mogelijk.</w:t>
      </w:r>
    </w:p>
    <w:p w14:paraId="59CCAED8" w14:textId="77777777" w:rsidR="00D231BD" w:rsidRPr="00C75D23" w:rsidRDefault="00D231BD" w:rsidP="00C75D23"/>
    <w:sectPr w:rsidR="00D231BD" w:rsidRPr="00C75D23" w:rsidSect="004759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D1EC" w14:textId="77777777" w:rsidR="00E41167" w:rsidRDefault="00E41167" w:rsidP="00BA580A">
      <w:r>
        <w:separator/>
      </w:r>
    </w:p>
  </w:endnote>
  <w:endnote w:type="continuationSeparator" w:id="0">
    <w:p w14:paraId="3DEE27FE" w14:textId="77777777" w:rsidR="00E41167" w:rsidRDefault="00E41167" w:rsidP="00BA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CBC4" w14:textId="77777777" w:rsidR="00E41167" w:rsidRDefault="00E41167" w:rsidP="00BA580A">
      <w:r>
        <w:separator/>
      </w:r>
    </w:p>
  </w:footnote>
  <w:footnote w:type="continuationSeparator" w:id="0">
    <w:p w14:paraId="5CF1E192" w14:textId="77777777" w:rsidR="00E41167" w:rsidRDefault="00E41167" w:rsidP="00BA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A0138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DA7BA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11058D"/>
    <w:multiLevelType w:val="multilevel"/>
    <w:tmpl w:val="2F2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018E8"/>
    <w:multiLevelType w:val="hybridMultilevel"/>
    <w:tmpl w:val="58AA0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337F81"/>
    <w:multiLevelType w:val="hybridMultilevel"/>
    <w:tmpl w:val="9B7A21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DA46C95"/>
    <w:multiLevelType w:val="hybridMultilevel"/>
    <w:tmpl w:val="BC963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117D1C"/>
    <w:multiLevelType w:val="multilevel"/>
    <w:tmpl w:val="0413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DF037F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FD2F01"/>
    <w:multiLevelType w:val="hybridMultilevel"/>
    <w:tmpl w:val="219CC20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1338892">
    <w:abstractNumId w:val="9"/>
  </w:num>
  <w:num w:numId="2" w16cid:durableId="575866776">
    <w:abstractNumId w:val="5"/>
  </w:num>
  <w:num w:numId="3" w16cid:durableId="976567527">
    <w:abstractNumId w:val="0"/>
  </w:num>
  <w:num w:numId="4" w16cid:durableId="1142192249">
    <w:abstractNumId w:val="6"/>
  </w:num>
  <w:num w:numId="5" w16cid:durableId="1288508029">
    <w:abstractNumId w:val="4"/>
  </w:num>
  <w:num w:numId="6" w16cid:durableId="802506923">
    <w:abstractNumId w:val="8"/>
  </w:num>
  <w:num w:numId="7" w16cid:durableId="39133330">
    <w:abstractNumId w:val="2"/>
  </w:num>
  <w:num w:numId="8" w16cid:durableId="1876504492">
    <w:abstractNumId w:val="7"/>
  </w:num>
  <w:num w:numId="9" w16cid:durableId="1017970971">
    <w:abstractNumId w:val="1"/>
  </w:num>
  <w:num w:numId="10" w16cid:durableId="549682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15"/>
    <w:rsid w:val="00063E38"/>
    <w:rsid w:val="00092C04"/>
    <w:rsid w:val="001027A4"/>
    <w:rsid w:val="00193B9B"/>
    <w:rsid w:val="001C62E2"/>
    <w:rsid w:val="00256C15"/>
    <w:rsid w:val="00267F00"/>
    <w:rsid w:val="00332B2A"/>
    <w:rsid w:val="003700C2"/>
    <w:rsid w:val="003E078B"/>
    <w:rsid w:val="00424277"/>
    <w:rsid w:val="00475953"/>
    <w:rsid w:val="004F28F4"/>
    <w:rsid w:val="00542965"/>
    <w:rsid w:val="005754D4"/>
    <w:rsid w:val="005B2D2B"/>
    <w:rsid w:val="005D2171"/>
    <w:rsid w:val="005F26BF"/>
    <w:rsid w:val="007C4F59"/>
    <w:rsid w:val="007D3DD7"/>
    <w:rsid w:val="00825B18"/>
    <w:rsid w:val="00831487"/>
    <w:rsid w:val="00842E00"/>
    <w:rsid w:val="009117B6"/>
    <w:rsid w:val="009C49FC"/>
    <w:rsid w:val="00A42901"/>
    <w:rsid w:val="00BA580A"/>
    <w:rsid w:val="00BA6860"/>
    <w:rsid w:val="00C7200B"/>
    <w:rsid w:val="00C75D23"/>
    <w:rsid w:val="00D01D43"/>
    <w:rsid w:val="00D231BD"/>
    <w:rsid w:val="00E41167"/>
    <w:rsid w:val="00EB1CCA"/>
    <w:rsid w:val="00EE50DE"/>
    <w:rsid w:val="00F567F6"/>
    <w:rsid w:val="00FB4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2E828"/>
  <w15:docId w15:val="{B6A4DA96-4557-4F31-9335-99E765E3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6C15"/>
    <w:rPr>
      <w:sz w:val="24"/>
      <w:szCs w:val="24"/>
    </w:rPr>
  </w:style>
  <w:style w:type="paragraph" w:styleId="Kop1">
    <w:name w:val="heading 1"/>
    <w:basedOn w:val="Standaard"/>
    <w:next w:val="Standaard"/>
    <w:link w:val="Kop1Char"/>
    <w:qFormat/>
    <w:rsid w:val="007C4F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C75D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rsid w:val="00C75D2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4F5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qFormat/>
    <w:rsid w:val="007C4F59"/>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7C4F5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qFormat/>
    <w:rsid w:val="007C4F59"/>
    <w:rPr>
      <w:i/>
      <w:iCs/>
    </w:rPr>
  </w:style>
  <w:style w:type="paragraph" w:styleId="Plattetekst2">
    <w:name w:val="Body Text 2"/>
    <w:basedOn w:val="Standaard"/>
    <w:link w:val="Plattetekst2Char"/>
    <w:rsid w:val="00256C15"/>
    <w:rPr>
      <w:i/>
      <w:iCs/>
      <w:sz w:val="20"/>
    </w:rPr>
  </w:style>
  <w:style w:type="character" w:customStyle="1" w:styleId="Plattetekst2Char">
    <w:name w:val="Platte tekst 2 Char"/>
    <w:basedOn w:val="Standaardalinea-lettertype"/>
    <w:link w:val="Plattetekst2"/>
    <w:rsid w:val="00256C15"/>
    <w:rPr>
      <w:i/>
      <w:iCs/>
      <w:szCs w:val="24"/>
    </w:rPr>
  </w:style>
  <w:style w:type="paragraph" w:styleId="Voetnoottekst">
    <w:name w:val="footnote text"/>
    <w:basedOn w:val="Standaard"/>
    <w:link w:val="VoetnoottekstChar"/>
    <w:rsid w:val="00BA580A"/>
    <w:rPr>
      <w:sz w:val="20"/>
      <w:szCs w:val="20"/>
    </w:rPr>
  </w:style>
  <w:style w:type="character" w:customStyle="1" w:styleId="VoetnoottekstChar">
    <w:name w:val="Voetnoottekst Char"/>
    <w:basedOn w:val="Standaardalinea-lettertype"/>
    <w:link w:val="Voetnoottekst"/>
    <w:rsid w:val="00BA580A"/>
  </w:style>
  <w:style w:type="character" w:styleId="Voetnootmarkering">
    <w:name w:val="footnote reference"/>
    <w:basedOn w:val="Standaardalinea-lettertype"/>
    <w:rsid w:val="00BA580A"/>
    <w:rPr>
      <w:vertAlign w:val="superscript"/>
    </w:rPr>
  </w:style>
  <w:style w:type="character" w:styleId="Tekstvantijdelijkeaanduiding">
    <w:name w:val="Placeholder Text"/>
    <w:basedOn w:val="Standaardalinea-lettertype"/>
    <w:uiPriority w:val="99"/>
    <w:semiHidden/>
    <w:rsid w:val="00BA6860"/>
    <w:rPr>
      <w:color w:val="808080"/>
    </w:rPr>
  </w:style>
  <w:style w:type="paragraph" w:styleId="Ballontekst">
    <w:name w:val="Balloon Text"/>
    <w:basedOn w:val="Standaard"/>
    <w:link w:val="BallontekstChar"/>
    <w:rsid w:val="00BA6860"/>
    <w:rPr>
      <w:rFonts w:ascii="Tahoma" w:hAnsi="Tahoma" w:cs="Tahoma"/>
      <w:sz w:val="16"/>
      <w:szCs w:val="16"/>
    </w:rPr>
  </w:style>
  <w:style w:type="character" w:customStyle="1" w:styleId="BallontekstChar">
    <w:name w:val="Ballontekst Char"/>
    <w:basedOn w:val="Standaardalinea-lettertype"/>
    <w:link w:val="Ballontekst"/>
    <w:rsid w:val="00BA6860"/>
    <w:rPr>
      <w:rFonts w:ascii="Tahoma" w:hAnsi="Tahoma" w:cs="Tahoma"/>
      <w:sz w:val="16"/>
      <w:szCs w:val="16"/>
    </w:rPr>
  </w:style>
  <w:style w:type="paragraph" w:styleId="Lijstalinea">
    <w:name w:val="List Paragraph"/>
    <w:basedOn w:val="Standaard"/>
    <w:uiPriority w:val="34"/>
    <w:qFormat/>
    <w:rsid w:val="005B2D2B"/>
    <w:pPr>
      <w:ind w:left="720"/>
      <w:contextualSpacing/>
    </w:pPr>
  </w:style>
  <w:style w:type="character" w:customStyle="1" w:styleId="Kop2Char">
    <w:name w:val="Kop 2 Char"/>
    <w:basedOn w:val="Standaardalinea-lettertype"/>
    <w:link w:val="Kop2"/>
    <w:semiHidden/>
    <w:rsid w:val="00C75D2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C75D2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Aangepast 1">
      <a:dk1>
        <a:srgbClr val="97480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0CC5E-E8E9-4048-AF18-107CED9F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770</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Slingenberg</dc:creator>
  <cp:lastModifiedBy>Martin Slingenberg</cp:lastModifiedBy>
  <cp:revision>8</cp:revision>
  <dcterms:created xsi:type="dcterms:W3CDTF">2015-10-29T12:54:00Z</dcterms:created>
  <dcterms:modified xsi:type="dcterms:W3CDTF">2025-10-20T07:22:00Z</dcterms:modified>
</cp:coreProperties>
</file>